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45" w:rsidRPr="00FE4B89" w:rsidRDefault="007A7E45" w:rsidP="00FE4B89">
      <w:bookmarkStart w:id="0" w:name="_GoBack"/>
      <w:bookmarkEnd w:id="0"/>
    </w:p>
    <w:p w:rsidR="00775939" w:rsidRDefault="000C53D4">
      <w:pPr>
        <w:pStyle w:val="Heading2"/>
      </w:pPr>
      <w:r>
        <w:t>02035 Ured za opće poslove Hrvatskoga sabora i Vlade Republike Hrvatske</w:t>
      </w:r>
    </w:p>
    <w:p w:rsidR="00775939" w:rsidRDefault="000C53D4">
      <w:r>
        <w:t>Ured za opće poslove Hrvatskoga sabora i Vlade Republike Hrvatske (u daljnjem tekstu: Ured) je zajednička stručna služba Hrvatskoga sabora, Vlade Republike Hrvatske, Ureda predsjednika Vlade Republike Hrvatske, ureda i stručnih službi Vlade Republike Hrvat</w:t>
      </w:r>
      <w:r>
        <w:t xml:space="preserve">ske te Direkcije za korištenje službenih zrakoplova Vlade Republike Hrvatske. Ured također pruža podršku u radu Ureda potpredsjednice Vlade Republike Hrvatske te Ureda predsjednice Republike Hrvatske po prestanku obnašanja dužnosti. </w:t>
      </w:r>
    </w:p>
    <w:p w:rsidR="00775939" w:rsidRDefault="000C53D4">
      <w:r>
        <w:t xml:space="preserve">  </w:t>
      </w:r>
    </w:p>
    <w:p w:rsidR="00775939" w:rsidRDefault="000C53D4">
      <w:r>
        <w:t>Djelokrug Ureda pod</w:t>
      </w:r>
      <w:r>
        <w:t>ijeljen je kroz 6 službi koje pružaju podršku radu ureda o kojima Ured brine u područjima pravnih poslova, upravljanja ljudskim potencijalima i uredskog poslovanja, financijskih i računovodstvenih poslova, poslova nabave i upravljanja voznim parkom, pomoćn</w:t>
      </w:r>
      <w:r>
        <w:t xml:space="preserve">o tehničkih poslova te informatičkih i telekomunikacijskih poslova. </w:t>
      </w:r>
    </w:p>
    <w:p w:rsidR="00775939" w:rsidRDefault="000C53D4">
      <w:r>
        <w:t xml:space="preserve">  </w:t>
      </w:r>
    </w:p>
    <w:p w:rsidR="00775939" w:rsidRDefault="000C53D4">
      <w:r>
        <w:t xml:space="preserve">U narednom trogodišnjem razdoblju fokus poslovanja Ureda bit će usmjeren na pružanje operativne podrške u radu gore navedenih tijela, provedbu konstrukcijske i cjelovite obnove palače </w:t>
      </w:r>
      <w:r>
        <w:t>Bužan u kojoj je Ured smješten na adresi Opatička 8, nastavak modernizacije telekomunikacijskog i informatičkog sustava, podmirenje fiksnih i ugovornih obveza.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36"/>
        <w:gridCol w:w="1558"/>
        <w:gridCol w:w="1568"/>
        <w:gridCol w:w="1558"/>
        <w:gridCol w:w="1558"/>
        <w:gridCol w:w="1558"/>
        <w:gridCol w:w="970"/>
      </w:tblGrid>
      <w:tr w:rsidR="00775939">
        <w:trPr>
          <w:jc w:val="center"/>
        </w:trPr>
        <w:tc>
          <w:tcPr>
            <w:tcW w:w="1530" w:type="dxa"/>
            <w:shd w:val="clear" w:color="auto" w:fill="B5C0D8"/>
          </w:tcPr>
          <w:p w:rsidR="00775939" w:rsidRDefault="00775939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775939">
        <w:trPr>
          <w:jc w:val="center"/>
        </w:trPr>
        <w:tc>
          <w:tcPr>
            <w:tcW w:w="1530" w:type="dxa"/>
          </w:tcPr>
          <w:p w:rsidR="00775939" w:rsidRDefault="000C53D4">
            <w:pPr>
              <w:pStyle w:val="CellColumn"/>
              <w:jc w:val="left"/>
            </w:pPr>
            <w:r>
              <w:rPr>
                <w:rFonts w:cs="Times New Roman"/>
              </w:rPr>
              <w:t>02035</w:t>
            </w:r>
          </w:p>
        </w:tc>
        <w:tc>
          <w:tcPr>
            <w:tcW w:w="1632" w:type="dxa"/>
          </w:tcPr>
          <w:p w:rsidR="00775939" w:rsidRDefault="000C53D4">
            <w:pPr>
              <w:jc w:val="right"/>
            </w:pPr>
            <w:r>
              <w:t>5.330.856</w:t>
            </w:r>
          </w:p>
        </w:tc>
        <w:tc>
          <w:tcPr>
            <w:tcW w:w="1632" w:type="dxa"/>
          </w:tcPr>
          <w:p w:rsidR="00775939" w:rsidRDefault="000C53D4">
            <w:pPr>
              <w:jc w:val="right"/>
            </w:pPr>
            <w:r>
              <w:t>10.802.263</w:t>
            </w:r>
          </w:p>
        </w:tc>
        <w:tc>
          <w:tcPr>
            <w:tcW w:w="1632" w:type="dxa"/>
          </w:tcPr>
          <w:p w:rsidR="00775939" w:rsidRDefault="000C53D4">
            <w:pPr>
              <w:jc w:val="right"/>
            </w:pPr>
            <w:r>
              <w:t>9.497.204</w:t>
            </w:r>
          </w:p>
        </w:tc>
        <w:tc>
          <w:tcPr>
            <w:tcW w:w="1632" w:type="dxa"/>
          </w:tcPr>
          <w:p w:rsidR="00775939" w:rsidRDefault="000C53D4">
            <w:pPr>
              <w:jc w:val="right"/>
            </w:pPr>
            <w:r>
              <w:t>7.934.784</w:t>
            </w:r>
          </w:p>
        </w:tc>
        <w:tc>
          <w:tcPr>
            <w:tcW w:w="1632" w:type="dxa"/>
          </w:tcPr>
          <w:p w:rsidR="00775939" w:rsidRDefault="000C53D4">
            <w:pPr>
              <w:jc w:val="right"/>
            </w:pPr>
            <w:r>
              <w:t>7.431.898</w:t>
            </w:r>
          </w:p>
        </w:tc>
        <w:tc>
          <w:tcPr>
            <w:tcW w:w="510" w:type="dxa"/>
          </w:tcPr>
          <w:p w:rsidR="00775939" w:rsidRDefault="000C53D4">
            <w:pPr>
              <w:jc w:val="right"/>
            </w:pPr>
            <w:r>
              <w:t>87,9</w:t>
            </w:r>
          </w:p>
        </w:tc>
      </w:tr>
    </w:tbl>
    <w:p w:rsidR="00775939" w:rsidRDefault="00775939">
      <w:pPr>
        <w:jc w:val="left"/>
      </w:pPr>
    </w:p>
    <w:p w:rsidR="00775939" w:rsidRDefault="000C53D4">
      <w:pPr>
        <w:pStyle w:val="Heading3"/>
      </w:pPr>
      <w:r>
        <w:rPr>
          <w:rFonts w:cs="Times New Roman"/>
        </w:rPr>
        <w:t>2110 OPĆI POSLOVI ZA POTREBE HRVATSKOG SABORA I VLADE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27"/>
        <w:gridCol w:w="1559"/>
        <w:gridCol w:w="1570"/>
        <w:gridCol w:w="1560"/>
        <w:gridCol w:w="1560"/>
        <w:gridCol w:w="1560"/>
        <w:gridCol w:w="970"/>
      </w:tblGrid>
      <w:tr w:rsidR="00775939">
        <w:trPr>
          <w:jc w:val="center"/>
        </w:trPr>
        <w:tc>
          <w:tcPr>
            <w:tcW w:w="1530" w:type="dxa"/>
            <w:shd w:val="clear" w:color="auto" w:fill="B5C0D8"/>
          </w:tcPr>
          <w:p w:rsidR="00775939" w:rsidRDefault="00775939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775939">
        <w:trPr>
          <w:jc w:val="center"/>
        </w:trPr>
        <w:tc>
          <w:tcPr>
            <w:tcW w:w="1530" w:type="dxa"/>
          </w:tcPr>
          <w:p w:rsidR="00775939" w:rsidRDefault="000C53D4">
            <w:pPr>
              <w:pStyle w:val="CellColumn"/>
              <w:jc w:val="left"/>
            </w:pPr>
            <w:r>
              <w:rPr>
                <w:rFonts w:cs="Times New Roman"/>
              </w:rPr>
              <w:t>2110</w:t>
            </w:r>
          </w:p>
        </w:tc>
        <w:tc>
          <w:tcPr>
            <w:tcW w:w="1632" w:type="dxa"/>
          </w:tcPr>
          <w:p w:rsidR="00775939" w:rsidRDefault="000C53D4">
            <w:pPr>
              <w:jc w:val="right"/>
            </w:pPr>
            <w:r>
              <w:t>5.330.856</w:t>
            </w:r>
          </w:p>
        </w:tc>
        <w:tc>
          <w:tcPr>
            <w:tcW w:w="1632" w:type="dxa"/>
          </w:tcPr>
          <w:p w:rsidR="00775939" w:rsidRDefault="000C53D4">
            <w:pPr>
              <w:jc w:val="right"/>
            </w:pPr>
            <w:r>
              <w:t>10.802.263</w:t>
            </w:r>
          </w:p>
        </w:tc>
        <w:tc>
          <w:tcPr>
            <w:tcW w:w="1632" w:type="dxa"/>
          </w:tcPr>
          <w:p w:rsidR="00775939" w:rsidRDefault="000C53D4">
            <w:pPr>
              <w:jc w:val="right"/>
            </w:pPr>
            <w:r>
              <w:t>9.497.204</w:t>
            </w:r>
          </w:p>
        </w:tc>
        <w:tc>
          <w:tcPr>
            <w:tcW w:w="1632" w:type="dxa"/>
          </w:tcPr>
          <w:p w:rsidR="00775939" w:rsidRDefault="000C53D4">
            <w:pPr>
              <w:jc w:val="right"/>
            </w:pPr>
            <w:r>
              <w:t>7.934.784</w:t>
            </w:r>
          </w:p>
        </w:tc>
        <w:tc>
          <w:tcPr>
            <w:tcW w:w="1632" w:type="dxa"/>
          </w:tcPr>
          <w:p w:rsidR="00775939" w:rsidRDefault="000C53D4">
            <w:pPr>
              <w:jc w:val="right"/>
            </w:pPr>
            <w:r>
              <w:t>7.431.898</w:t>
            </w:r>
          </w:p>
        </w:tc>
        <w:tc>
          <w:tcPr>
            <w:tcW w:w="510" w:type="dxa"/>
          </w:tcPr>
          <w:p w:rsidR="00775939" w:rsidRDefault="000C53D4">
            <w:pPr>
              <w:jc w:val="right"/>
            </w:pPr>
            <w:r>
              <w:t>87,9</w:t>
            </w:r>
          </w:p>
        </w:tc>
      </w:tr>
    </w:tbl>
    <w:p w:rsidR="00775939" w:rsidRDefault="00775939">
      <w:pPr>
        <w:jc w:val="left"/>
      </w:pPr>
    </w:p>
    <w:p w:rsidR="00775939" w:rsidRDefault="000C53D4">
      <w:pPr>
        <w:pStyle w:val="Heading8"/>
        <w:jc w:val="left"/>
      </w:pPr>
      <w:r>
        <w:t>Cilj 1. Učinkovito, ekonomično i djelotvorno gospodarenje imovinom i sredstvima proračunskih korisnika za čije se poslovanje Ured brine</w:t>
      </w:r>
    </w:p>
    <w:p w:rsidR="00775939" w:rsidRDefault="000C53D4">
      <w:pPr>
        <w:pStyle w:val="Heading8"/>
        <w:jc w:val="left"/>
      </w:pPr>
      <w:r>
        <w:t>Pokazatelji učinka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775939">
        <w:trPr>
          <w:jc w:val="center"/>
        </w:trPr>
        <w:tc>
          <w:tcPr>
            <w:tcW w:w="2245" w:type="dxa"/>
            <w:shd w:val="clear" w:color="auto" w:fill="B5C0D8"/>
          </w:tcPr>
          <w:p w:rsidR="00775939" w:rsidRDefault="000C53D4">
            <w:pPr>
              <w:jc w:val="center"/>
            </w:pPr>
            <w:r>
              <w:t>Pokazatelj učinka</w:t>
            </w:r>
          </w:p>
        </w:tc>
        <w:tc>
          <w:tcPr>
            <w:tcW w:w="2245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775939">
        <w:trPr>
          <w:jc w:val="center"/>
        </w:trPr>
        <w:tc>
          <w:tcPr>
            <w:tcW w:w="2245" w:type="dxa"/>
            <w:vAlign w:val="top"/>
          </w:tcPr>
          <w:p w:rsidR="00775939" w:rsidRDefault="000C53D4">
            <w:pPr>
              <w:pStyle w:val="CellColumn"/>
              <w:jc w:val="left"/>
            </w:pPr>
            <w:r>
              <w:rPr>
                <w:rFonts w:cs="Times New Roman"/>
              </w:rPr>
              <w:t>Osigurana potpora, smjernice i kontrole u ostvarivanju djelatnosti ureda o kojima brine Ured za opće poslove Hrvatskoga sabora i Vlade Republike Hrvatske</w:t>
            </w:r>
          </w:p>
        </w:tc>
        <w:tc>
          <w:tcPr>
            <w:tcW w:w="2245" w:type="dxa"/>
            <w:vAlign w:val="top"/>
          </w:tcPr>
          <w:p w:rsidR="00775939" w:rsidRDefault="000C53D4">
            <w:pPr>
              <w:pStyle w:val="CellColumn"/>
              <w:jc w:val="left"/>
            </w:pPr>
            <w:r>
              <w:rPr>
                <w:rFonts w:cs="Times New Roman"/>
              </w:rPr>
              <w:t>Potpore i smjernice su bitni elementi u održavanju dobre komunikacije čime se utječe na uklanjanje nedoumica, grešaka i nepravilnosti te se osigurava zakonito, svrhovito i učinkovito trošenje osiguranih proračunskih sredstava uz prethodne i naknadne kontro</w:t>
            </w:r>
            <w:r>
              <w:rPr>
                <w:rFonts w:cs="Times New Roman"/>
              </w:rPr>
              <w:t>le</w:t>
            </w:r>
          </w:p>
        </w:tc>
        <w:tc>
          <w:tcPr>
            <w:tcW w:w="918" w:type="dxa"/>
          </w:tcPr>
          <w:p w:rsidR="00775939" w:rsidRDefault="000C53D4">
            <w:pPr>
              <w:jc w:val="center"/>
            </w:pPr>
            <w:r>
              <w:t>%</w:t>
            </w:r>
          </w:p>
        </w:tc>
        <w:tc>
          <w:tcPr>
            <w:tcW w:w="918" w:type="dxa"/>
          </w:tcPr>
          <w:p w:rsidR="00775939" w:rsidRDefault="000C53D4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775939" w:rsidRDefault="000C53D4">
            <w:pPr>
              <w:pStyle w:val="CellColumn"/>
              <w:jc w:val="center"/>
            </w:pPr>
            <w:r>
              <w:rPr>
                <w:rFonts w:cs="Times New Roman"/>
              </w:rPr>
              <w:t>Ured</w:t>
            </w:r>
          </w:p>
        </w:tc>
        <w:tc>
          <w:tcPr>
            <w:tcW w:w="918" w:type="dxa"/>
          </w:tcPr>
          <w:p w:rsidR="00775939" w:rsidRDefault="000C53D4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775939" w:rsidRDefault="000C53D4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775939" w:rsidRDefault="000C53D4">
            <w:pPr>
              <w:jc w:val="center"/>
            </w:pPr>
            <w:r>
              <w:t>100</w:t>
            </w:r>
          </w:p>
        </w:tc>
      </w:tr>
    </w:tbl>
    <w:p w:rsidR="00775939" w:rsidRDefault="00775939">
      <w:pPr>
        <w:jc w:val="left"/>
      </w:pPr>
    </w:p>
    <w:p w:rsidR="00775939" w:rsidRDefault="000C53D4">
      <w:pPr>
        <w:pStyle w:val="Heading4"/>
      </w:pPr>
      <w:r>
        <w:t>A515000 ADMINISTRACIJA I UPRAVLJANJE</w:t>
      </w:r>
    </w:p>
    <w:p w:rsidR="00775939" w:rsidRDefault="000C53D4">
      <w:pPr>
        <w:pStyle w:val="Heading8"/>
        <w:jc w:val="left"/>
      </w:pPr>
      <w:r>
        <w:t>Zakonske i druge pravne osnove</w:t>
      </w:r>
    </w:p>
    <w:p w:rsidR="00775939" w:rsidRDefault="000C53D4">
      <w:r>
        <w:t>Uredba o Uredu za opće poslove Hrvatskoga sabora i Vlade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0"/>
        <w:gridCol w:w="1553"/>
        <w:gridCol w:w="1564"/>
        <w:gridCol w:w="1553"/>
        <w:gridCol w:w="1553"/>
        <w:gridCol w:w="1553"/>
        <w:gridCol w:w="970"/>
      </w:tblGrid>
      <w:tr w:rsidR="00775939">
        <w:trPr>
          <w:jc w:val="center"/>
        </w:trPr>
        <w:tc>
          <w:tcPr>
            <w:tcW w:w="1530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775939">
        <w:trPr>
          <w:jc w:val="center"/>
        </w:trPr>
        <w:tc>
          <w:tcPr>
            <w:tcW w:w="1530" w:type="dxa"/>
            <w:vAlign w:val="top"/>
          </w:tcPr>
          <w:p w:rsidR="00775939" w:rsidRDefault="000C53D4">
            <w:pPr>
              <w:pStyle w:val="CellColumn"/>
              <w:jc w:val="left"/>
            </w:pPr>
            <w:r>
              <w:rPr>
                <w:rFonts w:cs="Times New Roman"/>
              </w:rPr>
              <w:t>A515000</w:t>
            </w:r>
          </w:p>
        </w:tc>
        <w:tc>
          <w:tcPr>
            <w:tcW w:w="1632" w:type="dxa"/>
            <w:vAlign w:val="top"/>
          </w:tcPr>
          <w:p w:rsidR="00775939" w:rsidRDefault="000C53D4">
            <w:pPr>
              <w:jc w:val="right"/>
            </w:pPr>
            <w:r>
              <w:t>5.171.015</w:t>
            </w:r>
          </w:p>
        </w:tc>
        <w:tc>
          <w:tcPr>
            <w:tcW w:w="1632" w:type="dxa"/>
            <w:vAlign w:val="top"/>
          </w:tcPr>
          <w:p w:rsidR="00775939" w:rsidRDefault="000C53D4">
            <w:pPr>
              <w:jc w:val="right"/>
            </w:pPr>
            <w:r>
              <w:t>10.496.068</w:t>
            </w:r>
          </w:p>
        </w:tc>
        <w:tc>
          <w:tcPr>
            <w:tcW w:w="1632" w:type="dxa"/>
            <w:vAlign w:val="top"/>
          </w:tcPr>
          <w:p w:rsidR="00775939" w:rsidRDefault="000C53D4">
            <w:pPr>
              <w:jc w:val="right"/>
            </w:pPr>
            <w:r>
              <w:t>9.343.906</w:t>
            </w:r>
          </w:p>
        </w:tc>
        <w:tc>
          <w:tcPr>
            <w:tcW w:w="1632" w:type="dxa"/>
            <w:vAlign w:val="top"/>
          </w:tcPr>
          <w:p w:rsidR="00775939" w:rsidRDefault="000C53D4">
            <w:pPr>
              <w:jc w:val="right"/>
            </w:pPr>
            <w:r>
              <w:t>7.729.061</w:t>
            </w:r>
          </w:p>
        </w:tc>
        <w:tc>
          <w:tcPr>
            <w:tcW w:w="1632" w:type="dxa"/>
            <w:vAlign w:val="top"/>
          </w:tcPr>
          <w:p w:rsidR="00775939" w:rsidRDefault="000C53D4">
            <w:pPr>
              <w:jc w:val="right"/>
            </w:pPr>
            <w:r>
              <w:t>7.226.175</w:t>
            </w:r>
          </w:p>
        </w:tc>
        <w:tc>
          <w:tcPr>
            <w:tcW w:w="510" w:type="dxa"/>
            <w:vAlign w:val="top"/>
          </w:tcPr>
          <w:p w:rsidR="00775939" w:rsidRDefault="000C53D4">
            <w:pPr>
              <w:jc w:val="right"/>
            </w:pPr>
            <w:r>
              <w:t>89,0</w:t>
            </w:r>
          </w:p>
        </w:tc>
      </w:tr>
    </w:tbl>
    <w:p w:rsidR="00775939" w:rsidRDefault="00775939">
      <w:pPr>
        <w:jc w:val="left"/>
      </w:pPr>
    </w:p>
    <w:p w:rsidR="00775939" w:rsidRDefault="000C53D4">
      <w:r>
        <w:t>Ured u okviru svog djelokruga obavlja odgovarajuće stručne pravne poslove, poslove upravljanja ljudskim potencijalima, poslove uredskog poslovanja, financijsko-računovodstvene poslove i poslove rukovanja imovinom, poslove koordiniranja financijskog planira</w:t>
      </w:r>
      <w:r>
        <w:t xml:space="preserve">nja, pripreme, kontrole i izvršenja proračuna te poslove strateškog planiranja, poslove javne nabave te poslove voznog parka, poslove izgradnje, implementacije i tehničkog održavanja telekomunikacijskog sustava, opreme i uređaja i djelomično informatičkih </w:t>
      </w:r>
      <w:r>
        <w:t xml:space="preserve">tehnologija, administrativne, opće i tehničke poslove. Navedeni poslovi predstavljaju okosnicu poslovanja Ureda i provode se svake godine. </w:t>
      </w:r>
    </w:p>
    <w:p w:rsidR="00775939" w:rsidRDefault="000C53D4">
      <w:r>
        <w:t xml:space="preserve">  </w:t>
      </w:r>
    </w:p>
    <w:p w:rsidR="00775939" w:rsidRDefault="000C53D4">
      <w:r>
        <w:t xml:space="preserve">U okviru aktivnosti A515000 Administracija i upravljanje planirana su sredstva za 2024. godinu na izvoru financiranja 11 Opći prihodi i primici, izvoru financiranja 31 Vlastiti prihodi i izvoru financiranja 581 Mehanizam za oporavak i otpornost. u ukupnom </w:t>
      </w:r>
      <w:r>
        <w:t xml:space="preserve">iznosu 9.343.906,00 eura, za 2025. godinu na izvoru financiranja 11 Opći prihodi i primici te izvoru financiranja 31 Vlastiti prihodi u ukupnom iznosu 7.729.061,00 eura te sredstva za 2026. godinu na izvoru financiranja 11 Opći prihodi i primici te izvoru </w:t>
      </w:r>
      <w:r>
        <w:t xml:space="preserve">financiranja 31 Vlastiti prihodi u ukupnom iznosu 7.226.175,00 eura. </w:t>
      </w:r>
    </w:p>
    <w:p w:rsidR="00775939" w:rsidRDefault="000C53D4">
      <w:r>
        <w:t xml:space="preserve">  </w:t>
      </w:r>
    </w:p>
    <w:p w:rsidR="00775939" w:rsidRDefault="000C53D4">
      <w:r>
        <w:t xml:space="preserve">U nastavku dajemo razradu planiranih sredstava po skupinama rashoda i izvorima financiranja kako slijedi: </w:t>
      </w:r>
    </w:p>
    <w:p w:rsidR="00775939" w:rsidRDefault="000C53D4">
      <w:r>
        <w:t xml:space="preserve">  </w:t>
      </w:r>
    </w:p>
    <w:p w:rsidR="00775939" w:rsidRDefault="000C53D4">
      <w:r>
        <w:t xml:space="preserve"> Na izvoru financiranja 11 Opći prihodi i primici planirana su sredstva u</w:t>
      </w:r>
      <w:r>
        <w:t xml:space="preserve"> iznosu 7.220.140,00 eura za 2024. godinu, 7.463.415,00 eura za 2025. godinu i 6.960.529,00 eura za 2026. godinu. </w:t>
      </w:r>
    </w:p>
    <w:p w:rsidR="00775939" w:rsidRDefault="000C53D4">
      <w:r>
        <w:t xml:space="preserve">  </w:t>
      </w:r>
    </w:p>
    <w:p w:rsidR="00775939" w:rsidRDefault="000C53D4">
      <w:r>
        <w:t xml:space="preserve">U nastavku dajemo razradu planiranih sredstava po skupinama rashoda kako slijedi: </w:t>
      </w:r>
    </w:p>
    <w:p w:rsidR="00775939" w:rsidRDefault="000C53D4">
      <w:r>
        <w:t xml:space="preserve"> </w:t>
      </w:r>
    </w:p>
    <w:p w:rsidR="00775939" w:rsidRDefault="000C53D4">
      <w:r>
        <w:t xml:space="preserve">31 Rashodi za zaposlene </w:t>
      </w:r>
    </w:p>
    <w:p w:rsidR="00775939" w:rsidRDefault="000C53D4">
      <w:r>
        <w:t>Planirana su sredstva u izno</w:t>
      </w:r>
      <w:r>
        <w:t xml:space="preserve">su 4.960.305,00 eura za 2024. godinu, 4.992,397,00 eura za 2025. godinu te 5.005.457,00 eura za 2025. godinu. </w:t>
      </w:r>
    </w:p>
    <w:p w:rsidR="00775939" w:rsidRDefault="000C53D4">
      <w:r>
        <w:t xml:space="preserve">Sredstva su planirana za 239 državnih službenika i namještenika. </w:t>
      </w:r>
    </w:p>
    <w:p w:rsidR="00775939" w:rsidRDefault="000C53D4">
      <w:r>
        <w:t xml:space="preserve">  </w:t>
      </w:r>
    </w:p>
    <w:p w:rsidR="00775939" w:rsidRDefault="000C53D4">
      <w:r>
        <w:t xml:space="preserve">32 Materijalni rashodi </w:t>
      </w:r>
    </w:p>
    <w:p w:rsidR="00775939" w:rsidRDefault="000C53D4">
      <w:r>
        <w:t xml:space="preserve">Planirana su sredstva u iznosu 1.787.787,00 eura za </w:t>
      </w:r>
      <w:r>
        <w:t xml:space="preserve">2024. godinu, 2.225.262,00 eura za 2025. godinu te 1.812.177,00 eura za 2026. godinu. </w:t>
      </w:r>
    </w:p>
    <w:p w:rsidR="00775939" w:rsidRDefault="000C53D4">
      <w:r>
        <w:t xml:space="preserve">  </w:t>
      </w:r>
    </w:p>
    <w:p w:rsidR="00775939" w:rsidRDefault="000C53D4">
      <w:r>
        <w:t>Sredstva se odnose na: naknade za prijevoz na posao i s posla državnih službenika i namještenika, stručne seminare, uredske potrepštine i pretplate na stručnu literat</w:t>
      </w:r>
      <w:r>
        <w:t>uru, režijske, telekomunikacijske i komunalne troškove, nabavu materijala te usluga za održavanje zgrade i opreme, sitni inventar, tiskovine, oglase, najam opreme i kratkoročne licence, sistematske preglede, računalne usluge, usluge čišćenja, usluge izrade</w:t>
      </w:r>
      <w:r>
        <w:t xml:space="preserve"> iskaznica, reprezentaciju te penale za nezapošljavanje osoba s invaliditetom. </w:t>
      </w:r>
    </w:p>
    <w:p w:rsidR="00775939" w:rsidRDefault="000C53D4">
      <w:r>
        <w:t xml:space="preserve">  </w:t>
      </w:r>
    </w:p>
    <w:p w:rsidR="00775939" w:rsidRDefault="000C53D4">
      <w:r>
        <w:lastRenderedPageBreak/>
        <w:t>Sredstva se odnose na: prijevoz na službenim putovanjima, gorivo, registracija, osiguranje i održavanje službenih automobila, nabava materijala za održavanje službenih autom</w:t>
      </w:r>
      <w:r>
        <w:t>obila, nabava auto guma, nabava radne odjeće, operativni leasing službenih automobila, nabava materijala za čišćenje i održavanje, podmirenje režijskih i komunalnih usluga za potrebe ureda i službi na lokacijama van matične Ureda, podmirenje troškova fiksn</w:t>
      </w:r>
      <w:r>
        <w:t>e telefonije, najam garažnih mjesta, usluge outsourcinga za čišćenje, usluge tehničke zaštite. Tijekom 2024. i 2025. godine Ured će za potrebe objekta u Mesničkoj 23 izraditi projekt te provesti radove sanacije jake i slabe struje te obnovu uredskih prosto</w:t>
      </w:r>
      <w:r>
        <w:t xml:space="preserve">rija. </w:t>
      </w:r>
    </w:p>
    <w:p w:rsidR="00775939" w:rsidRDefault="000C53D4">
      <w:r>
        <w:t xml:space="preserve"> </w:t>
      </w:r>
    </w:p>
    <w:p w:rsidR="00775939" w:rsidRDefault="000C53D4">
      <w:r>
        <w:t xml:space="preserve">34 Financijski rashodi </w:t>
      </w:r>
    </w:p>
    <w:p w:rsidR="00775939" w:rsidRDefault="000C53D4">
      <w:r>
        <w:t xml:space="preserve">Planirana su sredstva u iznosu 214,00 eura za svaku godinu planiranja. </w:t>
      </w:r>
    </w:p>
    <w:p w:rsidR="00775939" w:rsidRDefault="000C53D4">
      <w:r>
        <w:t xml:space="preserve">Sredstva su planirana za bankarske usluge, negativne tečajne razlike i zatezne kamate. </w:t>
      </w:r>
    </w:p>
    <w:p w:rsidR="00775939" w:rsidRDefault="000C53D4">
      <w:r>
        <w:t xml:space="preserve">  </w:t>
      </w:r>
    </w:p>
    <w:p w:rsidR="00775939" w:rsidRDefault="000C53D4">
      <w:r>
        <w:t xml:space="preserve">37 Naknade građanima i kućanstvima na temelju osiguranja i druge naknade </w:t>
      </w:r>
    </w:p>
    <w:p w:rsidR="00775939" w:rsidRDefault="000C53D4">
      <w:r>
        <w:t xml:space="preserve">Planirana su sredstva u iznosu 13.273,00 eura za svaku godinu planiranja. </w:t>
      </w:r>
    </w:p>
    <w:p w:rsidR="00775939" w:rsidRDefault="000C53D4">
      <w:r>
        <w:t xml:space="preserve"> Sredstva su planirana za dodatna školovanja i prekvalifikacije djelatnika Ureda. </w:t>
      </w:r>
    </w:p>
    <w:p w:rsidR="00775939" w:rsidRDefault="000C53D4">
      <w:r>
        <w:t xml:space="preserve">  </w:t>
      </w:r>
    </w:p>
    <w:p w:rsidR="00775939" w:rsidRDefault="000C53D4">
      <w:r>
        <w:t xml:space="preserve">38 Ostali rashodi </w:t>
      </w:r>
    </w:p>
    <w:p w:rsidR="00775939" w:rsidRDefault="000C53D4">
      <w:r>
        <w:t xml:space="preserve">Planirana su sredstva u iznosu 7.301,00 eura za svaku godinu planiranja. </w:t>
      </w:r>
    </w:p>
    <w:p w:rsidR="00775939" w:rsidRDefault="000C53D4">
      <w:r>
        <w:t xml:space="preserve">Sredstva su planirana za isplatu potencijalnih žalbi na postupke javne nabave te kazni za prometne prekršaje vozača službenih automobila Ureda. </w:t>
      </w:r>
    </w:p>
    <w:p w:rsidR="00775939" w:rsidRDefault="000C53D4">
      <w:r>
        <w:t xml:space="preserve">  </w:t>
      </w:r>
    </w:p>
    <w:p w:rsidR="00775939" w:rsidRDefault="000C53D4">
      <w:r>
        <w:t>42 Rashodi za nabavu proizvedene d</w:t>
      </w:r>
      <w:r>
        <w:t xml:space="preserve">ugotrajne imovine </w:t>
      </w:r>
    </w:p>
    <w:p w:rsidR="00775939" w:rsidRDefault="000C53D4">
      <w:r>
        <w:t xml:space="preserve">Planirana su sredstva u iznosu 361.008,00 eura za 2024. godinu, 224.968,00 eura za 2025. godinu te 122.107,00 eura za 2026. godinu. </w:t>
      </w:r>
    </w:p>
    <w:p w:rsidR="00775939" w:rsidRDefault="000C53D4">
      <w:r>
        <w:t xml:space="preserve">  </w:t>
      </w:r>
    </w:p>
    <w:p w:rsidR="00775939" w:rsidRDefault="000C53D4">
      <w:r>
        <w:t>Za 2024. godinu planirana su sredstva za sljedeće namjene: zamjena uredskog namještaja, zamjena komun</w:t>
      </w:r>
      <w:r>
        <w:t xml:space="preserve">ikacijske opreme, nastavak modernizacije telefonske centrale, obnova opreme za čišćenje, nabava klima uređaja te ostale opreme.  </w:t>
      </w:r>
    </w:p>
    <w:p w:rsidR="00775939" w:rsidRDefault="000C53D4">
      <w:r>
        <w:t xml:space="preserve">  </w:t>
      </w:r>
    </w:p>
    <w:p w:rsidR="00775939" w:rsidRDefault="000C53D4">
      <w:r>
        <w:t>Za 2025. godinu planirana su sredstva za sljedeće namjene: zamjena uredskog namještaja, zamjena komunikacijske opreme, nast</w:t>
      </w:r>
      <w:r>
        <w:t xml:space="preserve">avak modernizacije telefonske centrale, obnova opreme za čišćenje, nabava klima uređaja te ostale opreme.  </w:t>
      </w:r>
    </w:p>
    <w:p w:rsidR="00775939" w:rsidRDefault="000C53D4">
      <w:r>
        <w:t xml:space="preserve">  </w:t>
      </w:r>
    </w:p>
    <w:p w:rsidR="00775939" w:rsidRDefault="000C53D4">
      <w:r>
        <w:t>Za 2026. godinu planirana su sredstva za sljedeće namjene: nabava uredskog namještaja nakon završetka radova cjelovite obnove, zamjena komunikaci</w:t>
      </w:r>
      <w:r>
        <w:t xml:space="preserve">jske opreme, nastavak modernizacije telefonske centrale, obnova opreme za čišćenje, nabava klima uređaja te ostale opreme.  </w:t>
      </w:r>
    </w:p>
    <w:p w:rsidR="00775939" w:rsidRDefault="000C53D4">
      <w:r>
        <w:t xml:space="preserve">  </w:t>
      </w:r>
    </w:p>
    <w:p w:rsidR="00775939" w:rsidRDefault="000C53D4">
      <w:r>
        <w:t xml:space="preserve">45 Rashodi za dodatna ulaganja na nefinancijskoj imovini </w:t>
      </w:r>
    </w:p>
    <w:p w:rsidR="00775939" w:rsidRDefault="000C53D4">
      <w:r>
        <w:t xml:space="preserve">Planirana su sredstva u iznosu 90.252,00 eura za 2024. godinu. </w:t>
      </w:r>
    </w:p>
    <w:p w:rsidR="00775939" w:rsidRDefault="000C53D4">
      <w:r>
        <w:t>Sredst</w:t>
      </w:r>
      <w:r>
        <w:t xml:space="preserve">va su planirana za stručni nadzor te radove cjelovite obnove od posljedica potresa. </w:t>
      </w:r>
    </w:p>
    <w:p w:rsidR="00775939" w:rsidRDefault="000C53D4">
      <w:r>
        <w:t xml:space="preserve">  </w:t>
      </w:r>
    </w:p>
    <w:p w:rsidR="00775939" w:rsidRDefault="000C53D4">
      <w:r>
        <w:t xml:space="preserve"> </w:t>
      </w:r>
    </w:p>
    <w:p w:rsidR="00775939" w:rsidRDefault="000C53D4">
      <w:r>
        <w:t xml:space="preserve">Na izvoru financiranja 31 Vlastiti prihodi planirana su sredstva u iznosu 265.646,00 eura za svaku godinu planiranja. </w:t>
      </w:r>
    </w:p>
    <w:p w:rsidR="00775939" w:rsidRDefault="000C53D4">
      <w:r>
        <w:t xml:space="preserve"> </w:t>
      </w:r>
    </w:p>
    <w:p w:rsidR="00775939" w:rsidRDefault="000C53D4">
      <w:r>
        <w:lastRenderedPageBreak/>
        <w:t>U nastavku dajemo razradu planiranih sredstav</w:t>
      </w:r>
      <w:r>
        <w:t xml:space="preserve">a po skupinama rashoda kako slijedi: </w:t>
      </w:r>
    </w:p>
    <w:p w:rsidR="00775939" w:rsidRDefault="000C53D4">
      <w:r>
        <w:t xml:space="preserve">  </w:t>
      </w:r>
    </w:p>
    <w:p w:rsidR="00775939" w:rsidRDefault="000C53D4">
      <w:r>
        <w:t xml:space="preserve">32 Materijalni rashodi </w:t>
      </w:r>
    </w:p>
    <w:p w:rsidR="00775939" w:rsidRDefault="000C53D4">
      <w:r>
        <w:t xml:space="preserve">Planirana su sredstva u iznosu 265.446,00 eura za svaku godinu planiranja. </w:t>
      </w:r>
    </w:p>
    <w:p w:rsidR="00775939" w:rsidRDefault="000C53D4">
      <w:r>
        <w:t xml:space="preserve">  </w:t>
      </w:r>
    </w:p>
    <w:p w:rsidR="00775939" w:rsidRDefault="000C53D4">
      <w:r>
        <w:t>U okviru izvora financiranja 31 Vlastiti prihodi, Ured u okviru Službe za opće i tehničke poslove odnosno Podods</w:t>
      </w:r>
      <w:r>
        <w:t>jeka prehrane za potrebe Hrvatskoga sabora i Pododsjeka prehrane za potrebe Vlade Republike Hrvatske i Vladinih ureda pruža između ostalog i ugostiteljske usluge u internim restoranima i buffet-ima Hrvatskoga sabora i Vlade Republike Hrvatske te u državnim</w:t>
      </w:r>
      <w:r>
        <w:t xml:space="preserve"> rezidencijama korisnika Ureda. U svrhu podmirenja izdataka za namirnice za potrebe internog ugostiteljstva Ured redovito planira sredstva na poziciji 3222 Materijal i sirovine. Temeljem Zakona o izvršavanju Državnog proračuna Republike Hrvatske Ured preno</w:t>
      </w:r>
      <w:r>
        <w:t>si neutrošena sredstva iz prethodne u tekuću godinu, a također sukladno navedenom Zakonu dio sredstava troši na podmirenje izdataka vezanih uz gore navedene pododsjeke prehrane (materijal za čišćenje, sanitarne knjižice, usluge kontrole hrane, popravci ugo</w:t>
      </w:r>
      <w:r>
        <w:t xml:space="preserve">stiteljskih aparata, nabava sitnog kuhinjskog inventara, radne odjeće i obuće, usluge čišćenja kuhinjskih napa, usavršavanja djelatnika, najam strojeva, oglasi). </w:t>
      </w:r>
    </w:p>
    <w:p w:rsidR="00775939" w:rsidRDefault="000C53D4">
      <w:r>
        <w:t xml:space="preserve">  </w:t>
      </w:r>
    </w:p>
    <w:p w:rsidR="00775939" w:rsidRDefault="000C53D4">
      <w:r>
        <w:t xml:space="preserve">34 Financijski rashodi </w:t>
      </w:r>
    </w:p>
    <w:p w:rsidR="00775939" w:rsidRDefault="000C53D4">
      <w:r>
        <w:t>Planirana su sredstva u iznosu 200,00 eura za svaku godinu planira</w:t>
      </w:r>
      <w:r>
        <w:t xml:space="preserve">nja. </w:t>
      </w:r>
    </w:p>
    <w:p w:rsidR="00775939" w:rsidRDefault="000C53D4">
      <w:r>
        <w:t>Sredstva su planirana za podmirenje zateznih kamata nepravovremenog podmirenja obveza prema dobavljačima prehrambenih proizvoda za internu službu ugostiteljstva.</w:t>
      </w:r>
    </w:p>
    <w:p w:rsidR="00775939" w:rsidRDefault="000C53D4">
      <w:pPr>
        <w:pStyle w:val="Heading4"/>
      </w:pPr>
      <w:r>
        <w:t>A515017 OBVEZE PO SUDSKIM SPOROVIMA</w:t>
      </w:r>
    </w:p>
    <w:p w:rsidR="00775939" w:rsidRDefault="000C53D4">
      <w:pPr>
        <w:pStyle w:val="Heading8"/>
        <w:jc w:val="left"/>
      </w:pPr>
      <w:r>
        <w:t>Zakonske i druge pravne osnove</w:t>
      </w:r>
    </w:p>
    <w:p w:rsidR="00775939" w:rsidRDefault="000C53D4">
      <w:r>
        <w:t xml:space="preserve">Uredba o Uredu za opće poslove Hrvatskoga sabora i Vlade Republike Hrvatske </w:t>
      </w:r>
    </w:p>
    <w:p w:rsidR="00775939" w:rsidRDefault="000C53D4">
      <w:r>
        <w:t xml:space="preserve">Zakon o državnim službenicima  </w:t>
      </w:r>
    </w:p>
    <w:p w:rsidR="00775939" w:rsidRDefault="000C53D4">
      <w:r>
        <w:t>Zakon o državnom odvjetništvu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7"/>
        <w:gridCol w:w="1567"/>
        <w:gridCol w:w="1552"/>
        <w:gridCol w:w="1552"/>
        <w:gridCol w:w="1544"/>
        <w:gridCol w:w="1544"/>
        <w:gridCol w:w="970"/>
      </w:tblGrid>
      <w:tr w:rsidR="00775939">
        <w:trPr>
          <w:jc w:val="center"/>
        </w:trPr>
        <w:tc>
          <w:tcPr>
            <w:tcW w:w="1530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775939">
        <w:trPr>
          <w:jc w:val="center"/>
        </w:trPr>
        <w:tc>
          <w:tcPr>
            <w:tcW w:w="1530" w:type="dxa"/>
            <w:vAlign w:val="top"/>
          </w:tcPr>
          <w:p w:rsidR="00775939" w:rsidRDefault="000C53D4">
            <w:pPr>
              <w:pStyle w:val="CellColumn"/>
              <w:jc w:val="left"/>
            </w:pPr>
            <w:r>
              <w:rPr>
                <w:rFonts w:cs="Times New Roman"/>
              </w:rPr>
              <w:t>A515017</w:t>
            </w:r>
          </w:p>
        </w:tc>
        <w:tc>
          <w:tcPr>
            <w:tcW w:w="1632" w:type="dxa"/>
            <w:vAlign w:val="top"/>
          </w:tcPr>
          <w:p w:rsidR="00775939" w:rsidRDefault="000C53D4">
            <w:pPr>
              <w:jc w:val="right"/>
            </w:pPr>
            <w:r>
              <w:t>00</w:t>
            </w:r>
          </w:p>
        </w:tc>
        <w:tc>
          <w:tcPr>
            <w:tcW w:w="1632" w:type="dxa"/>
            <w:vAlign w:val="top"/>
          </w:tcPr>
          <w:p w:rsidR="00775939" w:rsidRDefault="000C53D4">
            <w:pPr>
              <w:jc w:val="right"/>
            </w:pPr>
            <w:r>
              <w:t>20.573</w:t>
            </w:r>
          </w:p>
        </w:tc>
        <w:tc>
          <w:tcPr>
            <w:tcW w:w="1632" w:type="dxa"/>
            <w:vAlign w:val="top"/>
          </w:tcPr>
          <w:p w:rsidR="00775939" w:rsidRDefault="000C53D4">
            <w:pPr>
              <w:jc w:val="right"/>
            </w:pPr>
            <w:r>
              <w:t>20.573</w:t>
            </w:r>
          </w:p>
        </w:tc>
        <w:tc>
          <w:tcPr>
            <w:tcW w:w="1632" w:type="dxa"/>
            <w:vAlign w:val="top"/>
          </w:tcPr>
          <w:p w:rsidR="00775939" w:rsidRDefault="000C53D4">
            <w:pPr>
              <w:jc w:val="right"/>
            </w:pPr>
            <w:r>
              <w:t>00</w:t>
            </w:r>
          </w:p>
        </w:tc>
        <w:tc>
          <w:tcPr>
            <w:tcW w:w="1632" w:type="dxa"/>
            <w:vAlign w:val="top"/>
          </w:tcPr>
          <w:p w:rsidR="00775939" w:rsidRDefault="000C53D4">
            <w:pPr>
              <w:jc w:val="right"/>
            </w:pPr>
            <w:r>
              <w:t>00</w:t>
            </w:r>
          </w:p>
        </w:tc>
        <w:tc>
          <w:tcPr>
            <w:tcW w:w="510" w:type="dxa"/>
            <w:vAlign w:val="top"/>
          </w:tcPr>
          <w:p w:rsidR="00775939" w:rsidRDefault="000C53D4">
            <w:pPr>
              <w:jc w:val="right"/>
            </w:pPr>
            <w:r>
              <w:t>100,0</w:t>
            </w:r>
          </w:p>
        </w:tc>
      </w:tr>
    </w:tbl>
    <w:p w:rsidR="00775939" w:rsidRDefault="00775939">
      <w:pPr>
        <w:jc w:val="left"/>
      </w:pPr>
    </w:p>
    <w:p w:rsidR="00775939" w:rsidRDefault="000C53D4">
      <w:r>
        <w:t xml:space="preserve">U okviru aktivnosti A515017 Obveze po sudskim sporovima planirana su sredstva u iznosu 155.000,00 eura za 2024. godinu. </w:t>
      </w:r>
    </w:p>
    <w:p w:rsidR="00775939" w:rsidRDefault="000C53D4">
      <w:r>
        <w:t xml:space="preserve"> </w:t>
      </w:r>
    </w:p>
    <w:p w:rsidR="00775939" w:rsidRDefault="000C53D4">
      <w:r>
        <w:t xml:space="preserve">U nastavku dajemo razradu planiranih sredstava po skupinama rashoda kako slijedi: </w:t>
      </w:r>
    </w:p>
    <w:p w:rsidR="00775939" w:rsidRDefault="000C53D4">
      <w:r>
        <w:t xml:space="preserve">32 Materijalni rashodi </w:t>
      </w:r>
    </w:p>
    <w:p w:rsidR="00775939" w:rsidRDefault="000C53D4">
      <w:r>
        <w:t>Plani</w:t>
      </w:r>
      <w:r>
        <w:t xml:space="preserve">rana su sredstva u iznosu 1.991,00 eura za 2024. godinu. </w:t>
      </w:r>
    </w:p>
    <w:p w:rsidR="00775939" w:rsidRDefault="000C53D4">
      <w:r>
        <w:t xml:space="preserve">  </w:t>
      </w:r>
    </w:p>
    <w:p w:rsidR="00775939" w:rsidRDefault="000C53D4">
      <w:r>
        <w:t xml:space="preserve">34 Financijski rashodi </w:t>
      </w:r>
    </w:p>
    <w:p w:rsidR="00775939" w:rsidRDefault="000C53D4">
      <w:r>
        <w:t xml:space="preserve">Planirana su sredstva u iznosu 9.291,00 eura za 2024. godinu. </w:t>
      </w:r>
    </w:p>
    <w:p w:rsidR="00775939" w:rsidRDefault="000C53D4">
      <w:r>
        <w:t xml:space="preserve">  </w:t>
      </w:r>
    </w:p>
    <w:p w:rsidR="00775939" w:rsidRDefault="000C53D4">
      <w:r>
        <w:t xml:space="preserve">38 Ostali rashodi </w:t>
      </w:r>
    </w:p>
    <w:p w:rsidR="00775939" w:rsidRDefault="000C53D4">
      <w:r>
        <w:t xml:space="preserve">Planirana su sredstva u iznosu 9.291,00 eura za 2024. godinu. </w:t>
      </w:r>
    </w:p>
    <w:p w:rsidR="00775939" w:rsidRDefault="000C53D4">
      <w:r>
        <w:t>Na gore navedenim skupi</w:t>
      </w:r>
      <w:r>
        <w:t>nama rashoda sredstva su planirana za jedan sudski spor koji protiv Ureda vodi bivša djelatnica Ureda (trošak sudskog postupka, isplata kamata te glavnice).</w:t>
      </w:r>
    </w:p>
    <w:p w:rsidR="00775939" w:rsidRDefault="000C53D4">
      <w:pPr>
        <w:pStyle w:val="Heading8"/>
        <w:jc w:val="left"/>
      </w:pPr>
      <w:r>
        <w:lastRenderedPageBreak/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775939">
        <w:trPr>
          <w:jc w:val="center"/>
        </w:trPr>
        <w:tc>
          <w:tcPr>
            <w:tcW w:w="2245" w:type="dxa"/>
            <w:shd w:val="clear" w:color="auto" w:fill="B5C0D8"/>
          </w:tcPr>
          <w:p w:rsidR="00775939" w:rsidRDefault="000C53D4">
            <w:pPr>
              <w:jc w:val="center"/>
            </w:pPr>
            <w: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775939">
        <w:trPr>
          <w:jc w:val="center"/>
        </w:trPr>
        <w:tc>
          <w:tcPr>
            <w:tcW w:w="2245" w:type="dxa"/>
            <w:vAlign w:val="top"/>
          </w:tcPr>
          <w:p w:rsidR="00775939" w:rsidRDefault="000C53D4">
            <w:pPr>
              <w:pStyle w:val="CellColumn"/>
              <w:jc w:val="left"/>
            </w:pPr>
            <w:r>
              <w:rPr>
                <w:rFonts w:cs="Times New Roman"/>
              </w:rPr>
              <w:t>Broj podmirenih sudskih sporova</w:t>
            </w:r>
          </w:p>
        </w:tc>
        <w:tc>
          <w:tcPr>
            <w:tcW w:w="2245" w:type="dxa"/>
            <w:vAlign w:val="top"/>
          </w:tcPr>
          <w:p w:rsidR="00775939" w:rsidRDefault="000C53D4">
            <w:pPr>
              <w:pStyle w:val="CellColumn"/>
              <w:jc w:val="left"/>
            </w:pPr>
            <w:r>
              <w:rPr>
                <w:rFonts w:cs="Times New Roman"/>
              </w:rPr>
              <w:t>Jedna bivša djelatnica vodi sudski spor protiv Ureda čije se rješavanje očekuje u 2023. godini</w:t>
            </w:r>
          </w:p>
        </w:tc>
        <w:tc>
          <w:tcPr>
            <w:tcW w:w="918" w:type="dxa"/>
          </w:tcPr>
          <w:p w:rsidR="00775939" w:rsidRDefault="000C53D4">
            <w:pPr>
              <w:jc w:val="center"/>
            </w:pPr>
            <w:r>
              <w:t>broj</w:t>
            </w:r>
          </w:p>
        </w:tc>
        <w:tc>
          <w:tcPr>
            <w:tcW w:w="918" w:type="dxa"/>
          </w:tcPr>
          <w:p w:rsidR="00775939" w:rsidRDefault="000C53D4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775939" w:rsidRDefault="000C53D4">
            <w:pPr>
              <w:pStyle w:val="CellColumn"/>
              <w:jc w:val="center"/>
            </w:pPr>
            <w:r>
              <w:rPr>
                <w:rFonts w:cs="Times New Roman"/>
              </w:rPr>
              <w:t>Ured</w:t>
            </w:r>
          </w:p>
        </w:tc>
        <w:tc>
          <w:tcPr>
            <w:tcW w:w="918" w:type="dxa"/>
          </w:tcPr>
          <w:p w:rsidR="00775939" w:rsidRDefault="000C53D4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775939" w:rsidRDefault="00775939">
            <w:pPr>
              <w:jc w:val="left"/>
            </w:pPr>
          </w:p>
        </w:tc>
        <w:tc>
          <w:tcPr>
            <w:tcW w:w="918" w:type="dxa"/>
          </w:tcPr>
          <w:p w:rsidR="00775939" w:rsidRDefault="00775939">
            <w:pPr>
              <w:jc w:val="left"/>
            </w:pPr>
          </w:p>
        </w:tc>
      </w:tr>
    </w:tbl>
    <w:p w:rsidR="00775939" w:rsidRDefault="00775939">
      <w:pPr>
        <w:jc w:val="left"/>
      </w:pPr>
    </w:p>
    <w:p w:rsidR="00775939" w:rsidRDefault="000C53D4">
      <w:pPr>
        <w:pStyle w:val="Heading4"/>
      </w:pPr>
      <w:r>
        <w:t>K515008 INFORMATIZACIJA UREDA ZA OPĆE POSLOVE HRVATSKOGA SABORA I VLADE REPUBLIKE HRVATSKE</w:t>
      </w:r>
    </w:p>
    <w:p w:rsidR="00775939" w:rsidRDefault="000C53D4">
      <w:pPr>
        <w:pStyle w:val="Heading8"/>
        <w:jc w:val="left"/>
      </w:pPr>
      <w:r>
        <w:t>Zakonske i druge pravne osnove</w:t>
      </w:r>
    </w:p>
    <w:p w:rsidR="00775939" w:rsidRDefault="000C53D4">
      <w:r>
        <w:t>Uredba o Uredu za opće poslove Hrvatskoga sabora i Vlade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6"/>
        <w:gridCol w:w="1563"/>
        <w:gridCol w:w="1556"/>
        <w:gridCol w:w="1547"/>
        <w:gridCol w:w="1547"/>
        <w:gridCol w:w="1547"/>
        <w:gridCol w:w="970"/>
      </w:tblGrid>
      <w:tr w:rsidR="00775939">
        <w:trPr>
          <w:jc w:val="center"/>
        </w:trPr>
        <w:tc>
          <w:tcPr>
            <w:tcW w:w="1530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</w:t>
            </w:r>
            <w:r>
              <w:rPr>
                <w:rFonts w:cs="Times New Roman"/>
              </w:rPr>
              <w:t>n 2025.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775939">
        <w:trPr>
          <w:jc w:val="center"/>
        </w:trPr>
        <w:tc>
          <w:tcPr>
            <w:tcW w:w="1530" w:type="dxa"/>
            <w:vAlign w:val="top"/>
          </w:tcPr>
          <w:p w:rsidR="00775939" w:rsidRDefault="000C53D4">
            <w:pPr>
              <w:pStyle w:val="CellColumn"/>
              <w:jc w:val="left"/>
            </w:pPr>
            <w:r>
              <w:rPr>
                <w:rFonts w:cs="Times New Roman"/>
              </w:rPr>
              <w:t>K515008</w:t>
            </w:r>
          </w:p>
        </w:tc>
        <w:tc>
          <w:tcPr>
            <w:tcW w:w="1632" w:type="dxa"/>
            <w:vAlign w:val="top"/>
          </w:tcPr>
          <w:p w:rsidR="00775939" w:rsidRDefault="000C53D4">
            <w:pPr>
              <w:jc w:val="right"/>
            </w:pPr>
            <w:r>
              <w:t>12.680</w:t>
            </w:r>
          </w:p>
        </w:tc>
        <w:tc>
          <w:tcPr>
            <w:tcW w:w="1632" w:type="dxa"/>
            <w:vAlign w:val="top"/>
          </w:tcPr>
          <w:p w:rsidR="00775939" w:rsidRDefault="000C53D4">
            <w:pPr>
              <w:jc w:val="right"/>
            </w:pPr>
            <w:r>
              <w:t>134.981</w:t>
            </w:r>
          </w:p>
        </w:tc>
        <w:tc>
          <w:tcPr>
            <w:tcW w:w="1632" w:type="dxa"/>
            <w:vAlign w:val="top"/>
          </w:tcPr>
          <w:p w:rsidR="00775939" w:rsidRDefault="000C53D4">
            <w:pPr>
              <w:jc w:val="right"/>
            </w:pPr>
            <w:r>
              <w:t>58.400</w:t>
            </w:r>
          </w:p>
        </w:tc>
        <w:tc>
          <w:tcPr>
            <w:tcW w:w="1632" w:type="dxa"/>
            <w:vAlign w:val="top"/>
          </w:tcPr>
          <w:p w:rsidR="00775939" w:rsidRDefault="000C53D4">
            <w:pPr>
              <w:jc w:val="right"/>
            </w:pPr>
            <w:r>
              <w:t>59.727</w:t>
            </w:r>
          </w:p>
        </w:tc>
        <w:tc>
          <w:tcPr>
            <w:tcW w:w="1632" w:type="dxa"/>
            <w:vAlign w:val="top"/>
          </w:tcPr>
          <w:p w:rsidR="00775939" w:rsidRDefault="000C53D4">
            <w:pPr>
              <w:jc w:val="right"/>
            </w:pPr>
            <w:r>
              <w:t>59.727</w:t>
            </w:r>
          </w:p>
        </w:tc>
        <w:tc>
          <w:tcPr>
            <w:tcW w:w="510" w:type="dxa"/>
            <w:vAlign w:val="top"/>
          </w:tcPr>
          <w:p w:rsidR="00775939" w:rsidRDefault="000C53D4">
            <w:pPr>
              <w:jc w:val="right"/>
            </w:pPr>
            <w:r>
              <w:t>43,3</w:t>
            </w:r>
          </w:p>
        </w:tc>
      </w:tr>
    </w:tbl>
    <w:p w:rsidR="00775939" w:rsidRDefault="00775939">
      <w:pPr>
        <w:jc w:val="left"/>
      </w:pPr>
    </w:p>
    <w:p w:rsidR="00775939" w:rsidRDefault="000C53D4">
      <w:r>
        <w:t xml:space="preserve">U okviru kapitalnog projekta K515008 Informatizacija Ureda za opće poslove Hrvatskoga sabora i Vlade Republike Hrvatske planirana su sredstva u iznosu 58.400,00 eura za 2024. godinu, 59.727,00 eura za 2025. godinu te 59.727,00 eura za 2026. godinu. </w:t>
      </w:r>
    </w:p>
    <w:p w:rsidR="00775939" w:rsidRDefault="000C53D4">
      <w:r>
        <w:t xml:space="preserve">  </w:t>
      </w:r>
    </w:p>
    <w:p w:rsidR="00775939" w:rsidRDefault="000C53D4">
      <w:r>
        <w:t xml:space="preserve">U nastavku dajemo razradu planiranih sredstava po skupinama rashoda kako slijedi: </w:t>
      </w:r>
    </w:p>
    <w:p w:rsidR="00775939" w:rsidRDefault="000C53D4">
      <w:r>
        <w:t xml:space="preserve">32 Materijalni rashodi </w:t>
      </w:r>
    </w:p>
    <w:p w:rsidR="00775939" w:rsidRDefault="000C53D4">
      <w:r>
        <w:t>Planirana su sredstva u iznosu 11.946,00 eura za 2024. godinu.13.273,00 eura za 2025. godinu te 13.1273,00 eura za 2026. godinu. Sredstva se odnose n</w:t>
      </w:r>
      <w:r>
        <w:t xml:space="preserve">a nabavu licenci (Microsoft, Fortigate te licence za laptope za hibridni rad). </w:t>
      </w:r>
    </w:p>
    <w:p w:rsidR="00775939" w:rsidRDefault="000C53D4">
      <w:r>
        <w:t xml:space="preserve"> </w:t>
      </w:r>
    </w:p>
    <w:p w:rsidR="00775939" w:rsidRDefault="000C53D4">
      <w:r>
        <w:t xml:space="preserve">  </w:t>
      </w:r>
    </w:p>
    <w:p w:rsidR="00775939" w:rsidRDefault="000C53D4">
      <w:r>
        <w:t xml:space="preserve">42 Rashodi za nabavu proizvedene dugotrajne imovine </w:t>
      </w:r>
    </w:p>
    <w:p w:rsidR="00775939" w:rsidRDefault="000C53D4">
      <w:r>
        <w:t xml:space="preserve">Planirana su sredstva u iznosu 46.454,00 eura za za svaku godinu planiranja. </w:t>
      </w:r>
    </w:p>
    <w:p w:rsidR="00775939" w:rsidRDefault="000C53D4">
      <w:r>
        <w:t xml:space="preserve">  </w:t>
      </w:r>
    </w:p>
    <w:p w:rsidR="00775939" w:rsidRDefault="000C53D4">
      <w:r>
        <w:t>Sredstva su planirana za nabavu račun</w:t>
      </w:r>
      <w:r>
        <w:t>alne opreme te za ulaganja u postojeće računalne programe.</w:t>
      </w:r>
    </w:p>
    <w:p w:rsidR="00775939" w:rsidRDefault="000C53D4">
      <w:pPr>
        <w:pStyle w:val="Heading4"/>
      </w:pPr>
      <w:r>
        <w:t>K515016 OBNOVA VOZNOG PARKA</w:t>
      </w:r>
    </w:p>
    <w:p w:rsidR="00775939" w:rsidRDefault="000C53D4">
      <w:pPr>
        <w:pStyle w:val="Heading8"/>
        <w:jc w:val="left"/>
      </w:pPr>
      <w:r>
        <w:t>Zakonske i druge pravne osnove</w:t>
      </w:r>
    </w:p>
    <w:p w:rsidR="00775939" w:rsidRDefault="000C53D4">
      <w:r>
        <w:t xml:space="preserve">Uredba o Uredu za opće poslove Hrvatskoga sabora i Vlade Republike Hrvatske </w:t>
      </w:r>
    </w:p>
    <w:p w:rsidR="00775939" w:rsidRDefault="000C53D4">
      <w:r>
        <w:t>Smjernice za upravljanje voznim parkom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3"/>
        <w:gridCol w:w="1560"/>
        <w:gridCol w:w="1553"/>
        <w:gridCol w:w="1544"/>
        <w:gridCol w:w="1553"/>
        <w:gridCol w:w="1553"/>
        <w:gridCol w:w="970"/>
      </w:tblGrid>
      <w:tr w:rsidR="00775939">
        <w:trPr>
          <w:jc w:val="center"/>
        </w:trPr>
        <w:tc>
          <w:tcPr>
            <w:tcW w:w="1530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Izvrš</w:t>
            </w:r>
            <w:r>
              <w:rPr>
                <w:rFonts w:cs="Times New Roman"/>
              </w:rPr>
              <w:t>enje 2022.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775939" w:rsidRDefault="000C53D4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775939">
        <w:trPr>
          <w:jc w:val="center"/>
        </w:trPr>
        <w:tc>
          <w:tcPr>
            <w:tcW w:w="1530" w:type="dxa"/>
            <w:vAlign w:val="top"/>
          </w:tcPr>
          <w:p w:rsidR="00775939" w:rsidRDefault="000C53D4">
            <w:pPr>
              <w:pStyle w:val="CellColumn"/>
              <w:jc w:val="left"/>
            </w:pPr>
            <w:r>
              <w:rPr>
                <w:rFonts w:cs="Times New Roman"/>
              </w:rPr>
              <w:t>K515016</w:t>
            </w:r>
          </w:p>
        </w:tc>
        <w:tc>
          <w:tcPr>
            <w:tcW w:w="1632" w:type="dxa"/>
            <w:vAlign w:val="top"/>
          </w:tcPr>
          <w:p w:rsidR="00775939" w:rsidRDefault="000C53D4">
            <w:pPr>
              <w:jc w:val="right"/>
            </w:pPr>
            <w:r>
              <w:t>147.161</w:t>
            </w:r>
          </w:p>
        </w:tc>
        <w:tc>
          <w:tcPr>
            <w:tcW w:w="1632" w:type="dxa"/>
            <w:vAlign w:val="top"/>
          </w:tcPr>
          <w:p w:rsidR="00775939" w:rsidRDefault="000C53D4">
            <w:pPr>
              <w:jc w:val="right"/>
            </w:pPr>
            <w:r>
              <w:t>150.641</w:t>
            </w:r>
          </w:p>
        </w:tc>
        <w:tc>
          <w:tcPr>
            <w:tcW w:w="1632" w:type="dxa"/>
            <w:vAlign w:val="top"/>
          </w:tcPr>
          <w:p w:rsidR="00775939" w:rsidRDefault="000C53D4">
            <w:pPr>
              <w:jc w:val="right"/>
            </w:pPr>
            <w:r>
              <w:t>74.325</w:t>
            </w:r>
          </w:p>
        </w:tc>
        <w:tc>
          <w:tcPr>
            <w:tcW w:w="1632" w:type="dxa"/>
            <w:vAlign w:val="top"/>
          </w:tcPr>
          <w:p w:rsidR="00775939" w:rsidRDefault="000C53D4">
            <w:pPr>
              <w:jc w:val="right"/>
            </w:pPr>
            <w:r>
              <w:t>145.996</w:t>
            </w:r>
          </w:p>
        </w:tc>
        <w:tc>
          <w:tcPr>
            <w:tcW w:w="1632" w:type="dxa"/>
            <w:vAlign w:val="top"/>
          </w:tcPr>
          <w:p w:rsidR="00775939" w:rsidRDefault="000C53D4">
            <w:pPr>
              <w:jc w:val="right"/>
            </w:pPr>
            <w:r>
              <w:t>145.996</w:t>
            </w:r>
          </w:p>
        </w:tc>
        <w:tc>
          <w:tcPr>
            <w:tcW w:w="510" w:type="dxa"/>
            <w:vAlign w:val="top"/>
          </w:tcPr>
          <w:p w:rsidR="00775939" w:rsidRDefault="000C53D4">
            <w:pPr>
              <w:jc w:val="right"/>
            </w:pPr>
            <w:r>
              <w:t>49,3</w:t>
            </w:r>
          </w:p>
        </w:tc>
      </w:tr>
    </w:tbl>
    <w:p w:rsidR="00775939" w:rsidRDefault="00775939">
      <w:pPr>
        <w:jc w:val="left"/>
      </w:pPr>
    </w:p>
    <w:p w:rsidR="00775939" w:rsidRDefault="000C53D4">
      <w:r>
        <w:t>U okviru kapitalnog projekta K515016 Obnova voznog parka i skupini rashoda 42 Rashodi za nabavu proizvedene dugotrajne imovine planirana su sredstva u iznosu 74.325,00 eura za 2024. godinu, 145.996,00 eura za 2025. godinu te 145.996,00 eura za 2026. godinu</w:t>
      </w:r>
      <w:r>
        <w:t xml:space="preserve">. </w:t>
      </w:r>
    </w:p>
    <w:p w:rsidR="00775939" w:rsidRDefault="000C53D4">
      <w:r>
        <w:lastRenderedPageBreak/>
        <w:t xml:space="preserve">  </w:t>
      </w:r>
    </w:p>
    <w:p w:rsidR="00775939" w:rsidRDefault="000C53D4">
      <w:r>
        <w:t>Za razdoblje do srpnja 2024. godine sredstva su planirana za otplatu osamnaest (18) osobnih automobila nabavljenih putem financijskog leasinga na pet (5) godina bez održavanja za potrebe prijevoza dužnosnika i službenika Hrvatskoga sabora, dužnosnika i slu</w:t>
      </w:r>
      <w:r>
        <w:t xml:space="preserve">žbenika Vlade Republike Hrvatske te ureda Vlade Republike Hrvatske, a sve sukladno Smjernicama za upravljanje voznim parkom iz ožujka 2017. godine. </w:t>
      </w:r>
    </w:p>
    <w:p w:rsidR="00775939" w:rsidRDefault="000C53D4">
      <w:r>
        <w:t xml:space="preserve">  </w:t>
      </w:r>
    </w:p>
    <w:p w:rsidR="00775939" w:rsidRDefault="000C53D4">
      <w:r>
        <w:t>Prva mjesečna rata za gore navedeni broj osobnih automobila je plaćena za mjesec srpanj 2019. godine u i</w:t>
      </w:r>
      <w:r>
        <w:t>znosu od 11.028,04 eura. Iznos mjesečne rate jednak je do kraja trajanja financijskog leasinga. Budući financijski leasing traje do sredine 2024. godine, za ostatak 2024. godine i za 2025. godinu planirana su sredstva za obnovu istog broja službenih automo</w:t>
      </w:r>
      <w:r>
        <w:t>bila putem financijskog leasinga.</w:t>
      </w:r>
    </w:p>
    <w:sectPr w:rsidR="00775939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D4" w:rsidRDefault="000C53D4" w:rsidP="00F352E6">
      <w:r>
        <w:separator/>
      </w:r>
    </w:p>
  </w:endnote>
  <w:endnote w:type="continuationSeparator" w:id="0">
    <w:p w:rsidR="000C53D4" w:rsidRDefault="000C53D4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Pr="00D769ED" w:rsidRDefault="000C53D4" w:rsidP="007D4430">
    <w:pPr>
      <w:pStyle w:val="Footer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D4" w:rsidRDefault="000C53D4" w:rsidP="00F352E6">
      <w:r>
        <w:separator/>
      </w:r>
    </w:p>
  </w:footnote>
  <w:footnote w:type="continuationSeparator" w:id="0">
    <w:p w:rsidR="000C53D4" w:rsidRDefault="000C53D4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Default="000C53D4" w:rsidP="00A70582">
    <w:pPr>
      <w:pStyle w:val="Header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13A1A"/>
    <w:rsid w:val="0002533C"/>
    <w:rsid w:val="000352D6"/>
    <w:rsid w:val="000C0A6C"/>
    <w:rsid w:val="000C53D4"/>
    <w:rsid w:val="0010779D"/>
    <w:rsid w:val="0013155A"/>
    <w:rsid w:val="0017490A"/>
    <w:rsid w:val="001E5246"/>
    <w:rsid w:val="0027042C"/>
    <w:rsid w:val="00311AA1"/>
    <w:rsid w:val="00382225"/>
    <w:rsid w:val="00386953"/>
    <w:rsid w:val="00463609"/>
    <w:rsid w:val="00480C76"/>
    <w:rsid w:val="004C01B5"/>
    <w:rsid w:val="0052289C"/>
    <w:rsid w:val="00524A66"/>
    <w:rsid w:val="00526A7C"/>
    <w:rsid w:val="005A70C0"/>
    <w:rsid w:val="005B6ED7"/>
    <w:rsid w:val="005E2D85"/>
    <w:rsid w:val="00633683"/>
    <w:rsid w:val="00674346"/>
    <w:rsid w:val="006B3283"/>
    <w:rsid w:val="007665AA"/>
    <w:rsid w:val="00775939"/>
    <w:rsid w:val="007A7E45"/>
    <w:rsid w:val="007D1C46"/>
    <w:rsid w:val="007D395B"/>
    <w:rsid w:val="007D4430"/>
    <w:rsid w:val="00847495"/>
    <w:rsid w:val="008636E2"/>
    <w:rsid w:val="008A7E2A"/>
    <w:rsid w:val="009359F2"/>
    <w:rsid w:val="0094382E"/>
    <w:rsid w:val="00951B1A"/>
    <w:rsid w:val="009E33D3"/>
    <w:rsid w:val="00A021A2"/>
    <w:rsid w:val="00A320E5"/>
    <w:rsid w:val="00A70582"/>
    <w:rsid w:val="00AB5FEA"/>
    <w:rsid w:val="00AB7B4E"/>
    <w:rsid w:val="00B15946"/>
    <w:rsid w:val="00B2737F"/>
    <w:rsid w:val="00B31E2E"/>
    <w:rsid w:val="00B41BF8"/>
    <w:rsid w:val="00BA487B"/>
    <w:rsid w:val="00BA7BD1"/>
    <w:rsid w:val="00BB642B"/>
    <w:rsid w:val="00BF02E9"/>
    <w:rsid w:val="00BF3F24"/>
    <w:rsid w:val="00C7470A"/>
    <w:rsid w:val="00D61A8D"/>
    <w:rsid w:val="00DE2416"/>
    <w:rsid w:val="00E42E87"/>
    <w:rsid w:val="00E62EF0"/>
    <w:rsid w:val="00ED0E3A"/>
    <w:rsid w:val="00F352E6"/>
    <w:rsid w:val="00F67315"/>
    <w:rsid w:val="00F91724"/>
    <w:rsid w:val="00F92AEE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5D75BC-09A8-4A24-AF6B-EA09128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Heading1">
    <w:name w:val="heading 1"/>
    <w:basedOn w:val="Normal"/>
    <w:next w:val="Normal"/>
    <w:link w:val="Heading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Heading8">
    <w:name w:val="heading 8"/>
    <w:basedOn w:val="Normal6"/>
    <w:next w:val="Normal"/>
    <w:link w:val="Heading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Heading2Char">
    <w:name w:val="Heading 2 Char"/>
    <w:basedOn w:val="DefaultParagraphFont"/>
    <w:link w:val="Heading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Heading3Char">
    <w:name w:val="Heading 3 Char"/>
    <w:basedOn w:val="DefaultParagraphFont"/>
    <w:link w:val="Heading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Heading4Char">
    <w:name w:val="Heading 4 Char"/>
    <w:basedOn w:val="DefaultParagraphFont"/>
    <w:link w:val="Heading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Heading5Char">
    <w:name w:val="Heading 5 Char"/>
    <w:basedOn w:val="DefaultParagraphFont"/>
    <w:link w:val="Heading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Heading7Char">
    <w:name w:val="Heading 7 Char"/>
    <w:basedOn w:val="DefaultParagraphFont"/>
    <w:link w:val="Heading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Footer">
    <w:name w:val="footer"/>
    <w:basedOn w:val="Normal"/>
    <w:link w:val="Footer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PageNumber">
    <w:name w:val="page number"/>
    <w:basedOn w:val="DefaultParagraphFont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DefaultParagraphFont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DefaultParagraphFont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DefaultParagraphFont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Emphasis">
    <w:name w:val="Emphasis"/>
    <w:basedOn w:val="DefaultParagraphFont"/>
    <w:qFormat/>
    <w:rsid w:val="00480C76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480C76"/>
    <w:rPr>
      <w:b/>
      <w:bCs/>
    </w:rPr>
  </w:style>
  <w:style w:type="character" w:styleId="Hyperlink">
    <w:name w:val="Hyperlink"/>
    <w:basedOn w:val="DefaultParagraphFont"/>
    <w:rsid w:val="00480C76"/>
    <w:rPr>
      <w:color w:val="0000FF"/>
      <w:u w:val="single"/>
    </w:rPr>
  </w:style>
  <w:style w:type="table" w:styleId="TableGrid">
    <w:name w:val="Table Grid"/>
    <w:basedOn w:val="TableNormal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DefaultParagraphFont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Heading8Char">
    <w:name w:val="Heading 8 Char"/>
    <w:basedOn w:val="DefaultParagraphFont"/>
    <w:link w:val="Heading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TableNormal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TableNormal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5D8E-CAD5-4B1C-9C57-0BBD56E8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Marasović</dc:creator>
  <cp:lastModifiedBy>Internet Proracun</cp:lastModifiedBy>
  <cp:revision>2</cp:revision>
  <dcterms:created xsi:type="dcterms:W3CDTF">2023-11-15T14:42:00Z</dcterms:created>
  <dcterms:modified xsi:type="dcterms:W3CDTF">2023-11-15T14:42:00Z</dcterms:modified>
</cp:coreProperties>
</file>